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40"/>
        <w:tblW w:w="1524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244"/>
      </w:tblGrid>
      <w:tr w:rsidR="002F6E73" w:rsidTr="002F6E73">
        <w:trPr>
          <w:tblCellSpacing w:w="0" w:type="dxa"/>
        </w:trPr>
        <w:tc>
          <w:tcPr>
            <w:tcW w:w="15244" w:type="dxa"/>
            <w:shd w:val="clear" w:color="auto" w:fill="FFFFFF"/>
            <w:hideMark/>
          </w:tcPr>
          <w:p w:rsidR="002F6E73" w:rsidRPr="00FF23CD" w:rsidRDefault="002F6E73" w:rsidP="002F6E73">
            <w:pPr>
              <w:jc w:val="center"/>
            </w:pPr>
          </w:p>
        </w:tc>
      </w:tr>
      <w:tr w:rsidR="002F6E73" w:rsidTr="002F6E73">
        <w:trPr>
          <w:tblCellSpacing w:w="0" w:type="dxa"/>
        </w:trPr>
        <w:tc>
          <w:tcPr>
            <w:tcW w:w="15244" w:type="dxa"/>
            <w:shd w:val="clear" w:color="auto" w:fill="FFFFFF"/>
            <w:hideMark/>
          </w:tcPr>
          <w:tbl>
            <w:tblPr>
              <w:tblW w:w="10701" w:type="dxa"/>
              <w:tblCellSpacing w:w="0" w:type="dxa"/>
              <w:tblInd w:w="23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01"/>
            </w:tblGrid>
            <w:tr w:rsidR="002F6E73" w:rsidRPr="00FF23CD" w:rsidTr="0093608A">
              <w:trPr>
                <w:tblCellSpacing w:w="0" w:type="dxa"/>
              </w:trPr>
              <w:tc>
                <w:tcPr>
                  <w:tcW w:w="10701" w:type="dxa"/>
                  <w:shd w:val="clear" w:color="auto" w:fill="FFFFFF"/>
                  <w:vAlign w:val="center"/>
                  <w:hideMark/>
                </w:tcPr>
                <w:p w:rsidR="002F6E73" w:rsidRPr="00FF23CD" w:rsidRDefault="008A3823" w:rsidP="002F6E73">
                  <w:pPr>
                    <w:framePr w:hSpace="141" w:wrap="around" w:vAnchor="text" w:hAnchor="margin" w:xAlign="center" w:y="-44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FF23CD">
                    <w:rPr>
                      <w:lang w:eastAsia="pt-BR"/>
                    </w:rPr>
                    <w:fldChar w:fldCharType="begin"/>
                  </w:r>
                  <w:r w:rsidR="002F6E73" w:rsidRPr="00FF23CD">
                    <w:rPr>
                      <w:lang w:eastAsia="pt-BR"/>
                    </w:rPr>
                    <w:instrText xml:space="preserve"> INCLUDEPICTURE  "cid:image001.jpg@01CEEC64.EAFB3720" \* MERGEFORMATINET </w:instrText>
                  </w:r>
                  <w:r w:rsidRPr="00FF23CD">
                    <w:rPr>
                      <w:lang w:eastAsia="pt-BR"/>
                    </w:rPr>
                    <w:fldChar w:fldCharType="separate"/>
                  </w:r>
                  <w:r>
                    <w:rPr>
                      <w:lang w:eastAsia="pt-BR"/>
                    </w:rPr>
                    <w:fldChar w:fldCharType="begin"/>
                  </w:r>
                  <w:r w:rsidR="002F698B">
                    <w:rPr>
                      <w:lang w:eastAsia="pt-BR"/>
                    </w:rPr>
                    <w:instrText xml:space="preserve"> INCLUDEPICTURE  "cid:image001.jpg@01CEEC64.EAFB3720" \* MERGEFORMATINET </w:instrText>
                  </w:r>
                  <w:r>
                    <w:rPr>
                      <w:lang w:eastAsia="pt-BR"/>
                    </w:rPr>
                    <w:fldChar w:fldCharType="separate"/>
                  </w:r>
                  <w:r>
                    <w:rPr>
                      <w:lang w:eastAsia="pt-BR"/>
                    </w:rPr>
                    <w:fldChar w:fldCharType="begin"/>
                  </w:r>
                  <w:r w:rsidR="0093608A">
                    <w:rPr>
                      <w:lang w:eastAsia="pt-BR"/>
                    </w:rPr>
                    <w:instrText xml:space="preserve"> INCLUDEPICTURE  "cid:image001.jpg@01CEEC64.EAFB3720" \* MERGEFORMATINET </w:instrText>
                  </w:r>
                  <w:r>
                    <w:rPr>
                      <w:lang w:eastAsia="pt-BR"/>
                    </w:rPr>
                    <w:fldChar w:fldCharType="separate"/>
                  </w:r>
                  <w:r>
                    <w:rPr>
                      <w:lang w:eastAsia="pt-BR"/>
                    </w:rPr>
                    <w:fldChar w:fldCharType="begin"/>
                  </w:r>
                  <w:r w:rsidR="00DF7979">
                    <w:rPr>
                      <w:lang w:eastAsia="pt-BR"/>
                    </w:rPr>
                    <w:instrText xml:space="preserve"> INCLUDEPICTURE  "cid:image001.jpg@01CEEC64.EAFB3720" \* MERGEFORMATINET </w:instrText>
                  </w:r>
                  <w:r>
                    <w:rPr>
                      <w:lang w:eastAsia="pt-BR"/>
                    </w:rPr>
                    <w:fldChar w:fldCharType="separate"/>
                  </w:r>
                  <w:r>
                    <w:rPr>
                      <w:lang w:eastAsia="pt-B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" o:spid="_x0000_i1025" type="#_x0000_t75" alt="cid:image001.jpg@01CED553.5F528B10" style="width:518.25pt;height:74.25pt">
                        <v:imagedata r:id="rId5" r:href="rId6"/>
                      </v:shape>
                    </w:pict>
                  </w:r>
                  <w:r>
                    <w:rPr>
                      <w:lang w:eastAsia="pt-BR"/>
                    </w:rPr>
                    <w:fldChar w:fldCharType="end"/>
                  </w:r>
                  <w:r>
                    <w:rPr>
                      <w:lang w:eastAsia="pt-BR"/>
                    </w:rPr>
                    <w:fldChar w:fldCharType="end"/>
                  </w:r>
                  <w:r>
                    <w:rPr>
                      <w:lang w:eastAsia="pt-BR"/>
                    </w:rPr>
                    <w:fldChar w:fldCharType="end"/>
                  </w:r>
                  <w:r w:rsidRPr="00FF23CD">
                    <w:rPr>
                      <w:lang w:eastAsia="pt-BR"/>
                    </w:rPr>
                    <w:fldChar w:fldCharType="end"/>
                  </w:r>
                </w:p>
              </w:tc>
            </w:tr>
            <w:tr w:rsidR="002F6E73" w:rsidRPr="00FF23CD" w:rsidTr="0093608A">
              <w:trPr>
                <w:tblCellSpacing w:w="0" w:type="dxa"/>
              </w:trPr>
              <w:tc>
                <w:tcPr>
                  <w:tcW w:w="10701" w:type="dxa"/>
                  <w:shd w:val="clear" w:color="auto" w:fill="FFFFFF"/>
                  <w:vAlign w:val="center"/>
                  <w:hideMark/>
                </w:tcPr>
                <w:tbl>
                  <w:tblPr>
                    <w:tblW w:w="8254" w:type="dxa"/>
                    <w:tblCellSpacing w:w="0" w:type="dxa"/>
                    <w:tblInd w:w="115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"/>
                    <w:gridCol w:w="8114"/>
                    <w:gridCol w:w="51"/>
                  </w:tblGrid>
                  <w:tr w:rsidR="002F6E73" w:rsidRPr="00FF23CD">
                    <w:trPr>
                      <w:tblCellSpacing w:w="0" w:type="dxa"/>
                    </w:trPr>
                    <w:tc>
                      <w:tcPr>
                        <w:tcW w:w="89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14" w:type="dxa"/>
                        <w:vAlign w:val="center"/>
                        <w:hideMark/>
                      </w:tcPr>
                      <w:p w:rsidR="002F6E73" w:rsidRPr="002F6E73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ind w:left="-691"/>
                          <w:jc w:val="center"/>
                          <w:rPr>
                            <w:b/>
                            <w:bCs/>
                            <w:color w:val="00B050"/>
                            <w:sz w:val="40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color w:val="00B050"/>
                            <w:sz w:val="40"/>
                            <w:szCs w:val="44"/>
                          </w:rPr>
                          <w:t xml:space="preserve">   </w:t>
                        </w:r>
                        <w:r w:rsidRPr="002F6E73">
                          <w:rPr>
                            <w:b/>
                            <w:bCs/>
                            <w:color w:val="00B050"/>
                            <w:sz w:val="40"/>
                            <w:szCs w:val="44"/>
                          </w:rPr>
                          <w:t>BOLETIM INFORMATIVO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ind w:left="-691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B050"/>
                            <w:sz w:val="32"/>
                            <w:szCs w:val="36"/>
                          </w:rPr>
                          <w:t xml:space="preserve">    </w:t>
                        </w:r>
                        <w:r w:rsidRPr="002F6E73">
                          <w:rPr>
                            <w:b/>
                            <w:bCs/>
                            <w:color w:val="00B050"/>
                            <w:sz w:val="32"/>
                            <w:szCs w:val="36"/>
                          </w:rPr>
                          <w:t>Conselho Temático de Relações do Trabalho</w:t>
                        </w:r>
                      </w:p>
                    </w:tc>
                    <w:tc>
                      <w:tcPr>
                        <w:tcW w:w="51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6E73" w:rsidRPr="00FF23CD" w:rsidRDefault="002F6E73" w:rsidP="002F6E73">
                  <w:pPr>
                    <w:framePr w:hSpace="141" w:wrap="around" w:vAnchor="text" w:hAnchor="margin" w:xAlign="center" w:y="-44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F6E73" w:rsidRPr="00FF23CD" w:rsidTr="0093608A">
              <w:trPr>
                <w:tblCellSpacing w:w="0" w:type="dxa"/>
              </w:trPr>
              <w:tc>
                <w:tcPr>
                  <w:tcW w:w="10701" w:type="dxa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2"/>
                    <w:gridCol w:w="6958"/>
                    <w:gridCol w:w="780"/>
                  </w:tblGrid>
                  <w:tr w:rsidR="002F6E73" w:rsidRPr="00FF23CD">
                    <w:trPr>
                      <w:tblCellSpacing w:w="0" w:type="dxa"/>
                    </w:trPr>
                    <w:tc>
                      <w:tcPr>
                        <w:tcW w:w="512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58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6E73" w:rsidRPr="00FF23CD" w:rsidRDefault="002F6E73" w:rsidP="002F6E73">
                  <w:pPr>
                    <w:framePr w:hSpace="141" w:wrap="around" w:vAnchor="text" w:hAnchor="margin" w:xAlign="center" w:y="-44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F6E73" w:rsidRPr="00FF23CD" w:rsidTr="0093608A">
              <w:trPr>
                <w:tblCellSpacing w:w="0" w:type="dxa"/>
              </w:trPr>
              <w:tc>
                <w:tcPr>
                  <w:tcW w:w="10701" w:type="dxa"/>
                  <w:shd w:val="clear" w:color="auto" w:fill="FFFFFF"/>
                  <w:vAlign w:val="center"/>
                  <w:hideMark/>
                </w:tcPr>
                <w:tbl>
                  <w:tblPr>
                    <w:tblW w:w="10417" w:type="dxa"/>
                    <w:tblCellSpacing w:w="0" w:type="dxa"/>
                    <w:tblInd w:w="14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"/>
                    <w:gridCol w:w="10303"/>
                    <w:gridCol w:w="10"/>
                  </w:tblGrid>
                  <w:tr w:rsidR="002F6E73" w:rsidRPr="00FF23CD" w:rsidTr="002F6E73">
                    <w:trPr>
                      <w:tblCellSpacing w:w="0" w:type="dxa"/>
                    </w:trPr>
                    <w:tc>
                      <w:tcPr>
                        <w:tcW w:w="63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37" w:type="dxa"/>
                        <w:vAlign w:val="center"/>
                      </w:tcPr>
                      <w:p w:rsidR="002F6E73" w:rsidRPr="002F6E73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ind w:left="360"/>
                          <w:jc w:val="center"/>
                          <w:rPr>
                            <w:sz w:val="18"/>
                          </w:rPr>
                        </w:pPr>
                      </w:p>
                      <w:p w:rsidR="002F6E73" w:rsidRPr="002F6E73" w:rsidRDefault="002F6E73" w:rsidP="002F6E73">
                        <w:pPr>
                          <w:framePr w:hSpace="141" w:wrap="around" w:vAnchor="text" w:hAnchor="margin" w:xAlign="center" w:y="-440"/>
                          <w:shd w:val="clear" w:color="auto" w:fill="FFFFFF"/>
                          <w:jc w:val="center"/>
                          <w:rPr>
                            <w:b/>
                            <w:bCs/>
                            <w:caps/>
                            <w:color w:val="00B050"/>
                            <w:sz w:val="28"/>
                            <w:szCs w:val="36"/>
                            <w:u w:val="single"/>
                          </w:rPr>
                        </w:pPr>
                        <w:r w:rsidRPr="002F6E73">
                          <w:rPr>
                            <w:b/>
                            <w:bCs/>
                            <w:caps/>
                            <w:color w:val="00B050"/>
                            <w:sz w:val="28"/>
                            <w:szCs w:val="36"/>
                            <w:u w:val="single"/>
                          </w:rPr>
                          <w:t>COTA LEGAL PARA CONTRATAÇÃO</w:t>
                        </w:r>
                      </w:p>
                      <w:p w:rsidR="002F6E73" w:rsidRDefault="002F6E73" w:rsidP="002F6E73">
                        <w:pPr>
                          <w:framePr w:hSpace="141" w:wrap="around" w:vAnchor="text" w:hAnchor="margin" w:xAlign="center" w:y="-440"/>
                          <w:shd w:val="clear" w:color="auto" w:fill="FFFFFF"/>
                          <w:jc w:val="center"/>
                          <w:rPr>
                            <w:b/>
                            <w:bCs/>
                            <w:caps/>
                            <w:color w:val="00B050"/>
                            <w:sz w:val="28"/>
                            <w:szCs w:val="36"/>
                            <w:u w:val="single"/>
                          </w:rPr>
                        </w:pPr>
                        <w:r w:rsidRPr="002F6E73">
                          <w:rPr>
                            <w:b/>
                            <w:bCs/>
                            <w:caps/>
                            <w:color w:val="00B050"/>
                            <w:sz w:val="28"/>
                            <w:szCs w:val="36"/>
                            <w:u w:val="single"/>
                          </w:rPr>
                          <w:t>DE JOVENS APRENDIZES</w:t>
                        </w:r>
                      </w:p>
                      <w:p w:rsidR="002F6E73" w:rsidRDefault="002F6E73" w:rsidP="002F6E73">
                        <w:pPr>
                          <w:framePr w:hSpace="141" w:wrap="around" w:vAnchor="text" w:hAnchor="margin" w:xAlign="center" w:y="-440"/>
                          <w:shd w:val="clear" w:color="auto" w:fill="FFFFFF"/>
                          <w:jc w:val="center"/>
                          <w:rPr>
                            <w:b/>
                            <w:bCs/>
                            <w:caps/>
                            <w:color w:val="00B050"/>
                            <w:sz w:val="36"/>
                            <w:szCs w:val="36"/>
                            <w:u w:val="single"/>
                          </w:rPr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1489"/>
                          <w:jc w:val="both"/>
                        </w:pPr>
                        <w:r w:rsidRPr="00FF23CD">
                          <w:t xml:space="preserve">A obrigatoriedade na contratação de jovens aprendizes é uma imposição legal na </w:t>
                        </w:r>
                        <w:proofErr w:type="gramStart"/>
                        <w:r w:rsidRPr="00FF23CD">
                          <w:t xml:space="preserve">qual </w:t>
                        </w:r>
                        <w:r w:rsidRPr="00FF23CD">
                          <w:rPr>
                            <w:i/>
                            <w:iCs/>
                          </w:rPr>
                          <w:t>“estabelecimentos</w:t>
                        </w:r>
                        <w:proofErr w:type="gramEnd"/>
                        <w:r w:rsidRPr="00FF23CD">
                          <w:rPr>
                            <w:i/>
                            <w:iCs/>
                          </w:rPr>
                          <w:t xml:space="preserve"> de qualquer natureza”</w:t>
                        </w:r>
                        <w:r w:rsidRPr="00FF23CD">
                          <w:t xml:space="preserve">, que contem com mais de sete empregados – </w:t>
                        </w:r>
                        <w:r w:rsidRPr="00FF23CD">
                          <w:rPr>
                            <w:b/>
                            <w:bCs/>
                          </w:rPr>
                          <w:t>exceto microempresas e empresas de pequeno porte</w:t>
                        </w:r>
                        <w:r w:rsidRPr="00FF23CD">
                          <w:t xml:space="preserve"> – </w:t>
                        </w:r>
                        <w:r w:rsidRPr="00FF23CD">
                          <w:rPr>
                            <w:u w:val="single"/>
                          </w:rPr>
                          <w:t>são obrigad</w:t>
                        </w:r>
                        <w:r w:rsidR="00C97A94">
                          <w:rPr>
                            <w:u w:val="single"/>
                          </w:rPr>
                          <w:t>o</w:t>
                        </w:r>
                        <w:r w:rsidRPr="00FF23CD">
                          <w:rPr>
                            <w:u w:val="single"/>
                          </w:rPr>
                          <w:t xml:space="preserve">s a contratar aprendizes, em percentual </w:t>
                        </w:r>
                        <w:r w:rsidRPr="00FF23CD">
                          <w:rPr>
                            <w:b/>
                            <w:bCs/>
                            <w:u w:val="single"/>
                          </w:rPr>
                          <w:t>mínimo de 5% e máximo de 15%.</w:t>
                        </w:r>
                        <w:r w:rsidRPr="00FF23CD">
                          <w:rPr>
                            <w:b/>
                            <w:bCs/>
                          </w:rPr>
                          <w:t xml:space="preserve"> </w:t>
                        </w:r>
                        <w:r w:rsidRPr="00FF23CD">
                          <w:t xml:space="preserve">Os referidos percentuais </w:t>
                        </w:r>
                        <w:r w:rsidR="006936B3">
                          <w:t>deverão ser</w:t>
                        </w:r>
                        <w:r w:rsidRPr="00FF23CD">
                          <w:t xml:space="preserve"> calculados com base no número de empregados cuja </w:t>
                        </w:r>
                        <w:r w:rsidRPr="00FF23CD">
                          <w:rPr>
                            <w:i/>
                            <w:iCs/>
                          </w:rPr>
                          <w:t>“função demande formação profissional</w:t>
                        </w:r>
                        <w:r w:rsidRPr="00FF23CD">
                          <w:t>”.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jc w:val="both"/>
                        </w:pPr>
                      </w:p>
                      <w:p w:rsidR="006936B3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1489"/>
                          <w:jc w:val="both"/>
                        </w:pPr>
                        <w:r w:rsidRPr="00FF23CD">
                          <w:t xml:space="preserve">O critério utilizado pelo Ministério do Trabalho e Emprego - MTE para determinar se a função demanda, ou não, formação profissional </w:t>
                        </w:r>
                        <w:r w:rsidR="00C97A94">
                          <w:t>está claramente explicitada na</w:t>
                        </w:r>
                        <w:r w:rsidRPr="00FF23CD">
                          <w:t xml:space="preserve"> </w:t>
                        </w:r>
                        <w:r w:rsidRPr="00FF23CD">
                          <w:rPr>
                            <w:b/>
                            <w:bCs/>
                            <w:u w:val="single"/>
                          </w:rPr>
                          <w:t>Classificação Brasileira de Ocupações - CBO</w:t>
                        </w:r>
                        <w:r w:rsidRPr="00FF23CD">
                          <w:t xml:space="preserve">. Sendo que, infelizmente, de acordo com a referida classificação, praticamente todas as funções demandam formação profissional. </w:t>
                        </w:r>
                      </w:p>
                      <w:p w:rsidR="006936B3" w:rsidRDefault="006936B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1489"/>
                          <w:jc w:val="both"/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1489"/>
                          <w:jc w:val="both"/>
                        </w:pPr>
                        <w:r w:rsidRPr="00FF23CD">
                          <w:t>Excetuam-se d</w:t>
                        </w:r>
                        <w:r w:rsidR="006936B3">
                          <w:t>a citada</w:t>
                        </w:r>
                        <w:r w:rsidRPr="00FF23CD">
                          <w:t xml:space="preserve"> regra aquelas funções que, para seu exercício, necessitam de habilitação profissional de </w:t>
                        </w:r>
                        <w:r w:rsidRPr="00FF23CD">
                          <w:rPr>
                            <w:b/>
                            <w:bCs/>
                            <w:u w:val="single"/>
                          </w:rPr>
                          <w:t>nível técnico ou superior</w:t>
                        </w:r>
                        <w:r w:rsidRPr="00FF23CD">
                          <w:t xml:space="preserve">, bem como cargos de </w:t>
                        </w:r>
                        <w:r w:rsidRPr="00DF7979">
                          <w:rPr>
                            <w:b/>
                            <w:u w:val="single"/>
                          </w:rPr>
                          <w:t>direção, de gerência, de confiança ou trabalhadores terceirizados</w:t>
                        </w:r>
                        <w:r w:rsidRPr="00FF23CD">
                          <w:t>.</w:t>
                        </w:r>
                      </w:p>
                      <w:p w:rsidR="002F6E73" w:rsidRPr="00FF23CD" w:rsidRDefault="002F6E73" w:rsidP="002F6E73">
                        <w:pPr>
                          <w:pStyle w:val="NormalWeb"/>
                          <w:framePr w:hSpace="141" w:wrap="around" w:vAnchor="text" w:hAnchor="margin" w:xAlign="center" w:y="-440"/>
                          <w:spacing w:before="0" w:beforeAutospacing="0" w:after="0" w:afterAutospacing="0" w:line="360" w:lineRule="auto"/>
                          <w:ind w:firstLine="709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:rsidR="002F6E73" w:rsidRPr="00FF23CD" w:rsidRDefault="00DF7979" w:rsidP="002F6E73">
                        <w:pPr>
                          <w:pStyle w:val="NormalWeb"/>
                          <w:framePr w:hSpace="141" w:wrap="around" w:vAnchor="text" w:hAnchor="margin" w:xAlign="center" w:y="-440"/>
                          <w:spacing w:before="0" w:beforeAutospacing="0" w:after="0" w:afterAutospacing="0" w:line="360" w:lineRule="auto"/>
                          <w:ind w:firstLine="1489"/>
                          <w:jc w:val="both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No que tange à aplicação do percentual legal (5% a 15%), c</w:t>
                        </w:r>
                        <w:r w:rsidR="002F6E73"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aso o número de aprendizes não seja um número inteiro, deverá ser considerado o primeiro número inteiro a seguir. Por exemplo, caso a empresa possua 33 empregados que demandem formação profissional, 5% deste número </w:t>
                        </w:r>
                        <w:proofErr w:type="gramStart"/>
                        <w:r w:rsidR="002F6E73"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é</w:t>
                        </w:r>
                        <w:proofErr w:type="gramEnd"/>
                        <w:r w:rsidR="002F6E73"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1,65. Considerando que o próximo número inteiro é 2, deverá contratar 2 aprendizes.</w:t>
                        </w:r>
                      </w:p>
                      <w:p w:rsidR="002F6E73" w:rsidRPr="00FF23CD" w:rsidRDefault="002F6E73" w:rsidP="002F6E73">
                        <w:pPr>
                          <w:pStyle w:val="NormalWeb"/>
                          <w:framePr w:hSpace="141" w:wrap="around" w:vAnchor="text" w:hAnchor="margin" w:xAlign="center" w:y="-440"/>
                          <w:spacing w:before="0" w:beforeAutospacing="0" w:after="0" w:afterAutospacing="0" w:line="360" w:lineRule="auto"/>
                          <w:ind w:firstLine="708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  <w:highlight w:val="yellow"/>
                          </w:rPr>
                        </w:pPr>
                      </w:p>
                      <w:p w:rsidR="002F6E73" w:rsidRPr="00FF23CD" w:rsidRDefault="002F6E73" w:rsidP="002F6E73">
                        <w:pPr>
                          <w:pStyle w:val="NormalWeb"/>
                          <w:framePr w:hSpace="141" w:wrap="around" w:vAnchor="text" w:hAnchor="margin" w:xAlign="center" w:y="-440"/>
                          <w:spacing w:before="0" w:beforeAutospacing="0" w:after="0" w:afterAutospacing="0" w:line="360" w:lineRule="auto"/>
                          <w:ind w:firstLine="1489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  <w:highlight w:val="yellow"/>
                          </w:rPr>
                        </w:pP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Desde 2005, com a alteração prevista na Lei 11.180, a aprendizagem passou a compreender, além do</w:t>
                        </w:r>
                        <w:r w:rsidR="00C97A94">
                          <w:rPr>
                            <w:rFonts w:ascii="Calibri" w:hAnsi="Calibri"/>
                            <w:sz w:val="22"/>
                            <w:szCs w:val="22"/>
                          </w:rPr>
                          <w:t>s</w:t>
                        </w: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adolescentes de 14 a 18 anos, também os jovens maiores </w:t>
                        </w:r>
                        <w:r w:rsidR="00612E25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de idade, porém </w:t>
                        </w:r>
                        <w:r w:rsidR="00C97A94">
                          <w:rPr>
                            <w:rFonts w:ascii="Calibri" w:hAnsi="Calibri"/>
                            <w:sz w:val="22"/>
                            <w:szCs w:val="22"/>
                          </w:rPr>
                          <w:t>menores de</w:t>
                        </w: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24 anos</w:t>
                        </w:r>
                        <w:r w:rsidR="00C97A94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, ou seja, </w:t>
                        </w:r>
                        <w:r w:rsidR="00612E25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com até </w:t>
                        </w:r>
                        <w:r w:rsidR="00C97A94">
                          <w:rPr>
                            <w:rFonts w:ascii="Calibri" w:hAnsi="Calibri"/>
                            <w:sz w:val="22"/>
                            <w:szCs w:val="22"/>
                          </w:rPr>
                          <w:t>23 anos, 11 meses e 29 dias</w:t>
                        </w: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. Dessa forma, as atividades que antes eram proibidas para a aprendizagem, por se tratarem de atividades perigosas e/ou insalubres, passaram a ser permitidas, tendo em vista a possibilidade de contratação de aprendizes maiores de idade.</w:t>
                        </w:r>
                        <w:r w:rsidR="00EF6B1B"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No caso de portador de necessidades especiais, não há limitação etária máxima.</w:t>
                        </w:r>
                      </w:p>
                      <w:p w:rsidR="002F6E73" w:rsidRPr="00FF23CD" w:rsidRDefault="002F6E73" w:rsidP="002F6E73">
                        <w:pPr>
                          <w:pStyle w:val="NormalWeb"/>
                          <w:framePr w:hSpace="141" w:wrap="around" w:vAnchor="text" w:hAnchor="margin" w:xAlign="center" w:y="-440"/>
                          <w:spacing w:before="0" w:beforeAutospacing="0" w:after="0" w:afterAutospacing="0" w:line="360" w:lineRule="auto"/>
                          <w:ind w:firstLine="1489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lastRenderedPageBreak/>
                          <w:t>Assim, apesar de diversos setores industriais possuírem atividades insalubres e/ou perigosas e, consequentemente proibida</w:t>
                        </w:r>
                        <w:r w:rsidR="00EF6B1B">
                          <w:rPr>
                            <w:rFonts w:ascii="Calibri" w:hAnsi="Calibri"/>
                            <w:sz w:val="22"/>
                            <w:szCs w:val="22"/>
                          </w:rPr>
                          <w:t>s</w:t>
                        </w: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para menores de 18 anos, as indústrias permanecem obrigadas ao cumprimento da cota legal mínima </w:t>
                        </w:r>
                        <w:r w:rsidR="00EF6B1B">
                          <w:rPr>
                            <w:rFonts w:ascii="Calibri" w:hAnsi="Calibri"/>
                            <w:sz w:val="22"/>
                            <w:szCs w:val="22"/>
                          </w:rPr>
                          <w:t>em razão da citada alteração legislativa. D</w:t>
                        </w: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evendo, nesse caso, contratar aprendizes maiores de idade, sendo devido também pagamento do adicional respectivo</w:t>
                        </w:r>
                        <w:r w:rsidR="00EF6B1B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(adicional de insalubridade)</w:t>
                        </w: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</w:p>
                      <w:p w:rsidR="002F6E73" w:rsidRPr="00FF23CD" w:rsidRDefault="002F6E73" w:rsidP="002F6E73">
                        <w:pPr>
                          <w:pStyle w:val="NormalWeb"/>
                          <w:framePr w:hSpace="141" w:wrap="around" w:vAnchor="text" w:hAnchor="margin" w:xAlign="center" w:y="-440"/>
                          <w:spacing w:before="0" w:beforeAutospacing="0" w:after="0" w:afterAutospacing="0" w:line="360" w:lineRule="auto"/>
                          <w:ind w:firstLine="709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1489"/>
                          <w:jc w:val="both"/>
                        </w:pPr>
                        <w:r w:rsidRPr="00FF23CD">
                          <w:t>No caso do estabelecimento não cumprir a cota mínima de aprendizes contratados</w:t>
                        </w:r>
                        <w:bookmarkStart w:id="0" w:name="_GoBack"/>
                        <w:bookmarkEnd w:id="0"/>
                        <w:r w:rsidRPr="00FF23CD">
                          <w:t>, estará sujeito às seguintes penalidades: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709"/>
                          <w:jc w:val="both"/>
                        </w:pPr>
                      </w:p>
                      <w:p w:rsidR="002F6E73" w:rsidRPr="00FF23CD" w:rsidRDefault="002F6E73" w:rsidP="002F6E73">
                        <w:pPr>
                          <w:pStyle w:val="PargrafodaLista"/>
                          <w:framePr w:hSpace="141" w:wrap="around" w:vAnchor="text" w:hAnchor="margin" w:xAlign="center" w:y="-440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1813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Lavratura de auto(s) de infração e consequente imposição de multa(s) administrativa(s), no âmbito do MTE (art. 434 da CLT), garantindo sempre o direito de ampla defesa e o contraditório;</w:t>
                        </w:r>
                      </w:p>
                      <w:p w:rsidR="002F6E73" w:rsidRPr="00FF23CD" w:rsidRDefault="002F6E73" w:rsidP="002F6E73">
                        <w:pPr>
                          <w:pStyle w:val="PargrafodaLista"/>
                          <w:framePr w:hSpace="141" w:wrap="around" w:vAnchor="text" w:hAnchor="margin" w:xAlign="center" w:y="-440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1813"/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FF23CD">
                          <w:rPr>
                            <w:rFonts w:ascii="Calibri" w:hAnsi="Calibri"/>
                            <w:sz w:val="22"/>
                            <w:szCs w:val="22"/>
                          </w:rPr>
                          <w:t>Encaminhamento de relatórios ao Ministério Público do Trabalho (MPT), para as providências legais cabíveis – formalização de termo de ajuste de conduta – TAC, instauração de inquérito administrativo e/ou ajuizamento de ação civil pública;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708"/>
                          <w:jc w:val="both"/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360" w:lineRule="auto"/>
                          <w:ind w:firstLine="1489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F23CD">
                          <w:t>Considerando</w:t>
                        </w:r>
                        <w:r w:rsidR="00EF6B1B">
                          <w:t>, por fim, que as indústrias tê</w:t>
                        </w:r>
                        <w:r w:rsidRPr="00FF23CD">
                          <w:t xml:space="preserve">m apresentado dificuldade no cumprimento da cota, </w:t>
                        </w:r>
                        <w:r w:rsidRPr="00FF23CD">
                          <w:rPr>
                            <w:b/>
                            <w:bCs/>
                            <w:u w:val="single"/>
                          </w:rPr>
                          <w:t>recomendamos documentar exaustivamente as inúmeras tentativas de contratação de aprendizes</w:t>
                        </w:r>
                        <w:r w:rsidRPr="00FF23CD">
                          <w:t>, a fim de</w:t>
                        </w:r>
                        <w:r w:rsidR="00612E25">
                          <w:t xml:space="preserve"> evitar a assinatura de um termo de Ajustamento de Conduta – TAC, bem como,</w:t>
                        </w:r>
                        <w:r w:rsidRPr="00FF23CD">
                          <w:t xml:space="preserve"> utilizar tais provas na instrução da defesa de eventual ação civil pública ajuizada pelo Ministério Público do Trabalho.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autoSpaceDE w:val="0"/>
                          <w:autoSpaceDN w:val="0"/>
                          <w:spacing w:line="276" w:lineRule="auto"/>
                          <w:jc w:val="both"/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ind w:firstLine="1489"/>
                          <w:jc w:val="both"/>
                          <w:rPr>
                            <w:b/>
                            <w:bCs/>
                            <w:u w:val="single"/>
                          </w:rPr>
                        </w:pPr>
                        <w:r w:rsidRPr="00FF23CD">
                          <w:t xml:space="preserve">Caso deseje maiores informações sobre a cota legal de jovens aprendizes, o </w:t>
                        </w:r>
                        <w:r w:rsidRPr="00FF23CD">
                          <w:rPr>
                            <w:b/>
                            <w:bCs/>
                          </w:rPr>
                          <w:t>Departamento de Assistência Sindical</w:t>
                        </w:r>
                        <w:r w:rsidRPr="00FF23CD">
                          <w:t xml:space="preserve"> da FIEP está à disposição para atendê-lo.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F23CD">
                          <w:rPr>
                            <w:sz w:val="18"/>
                            <w:szCs w:val="18"/>
                          </w:rPr>
                          <w:t>*Texto de autoria das Dras. Juliana Dias Bacarin e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F23CD">
                          <w:rPr>
                            <w:sz w:val="18"/>
                            <w:szCs w:val="18"/>
                          </w:rPr>
                          <w:t>Priscilla Fatima Caetano de Lima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color w:val="1F497D"/>
                          </w:rPr>
                        </w:pP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F23CD">
                          <w:rPr>
                            <w:b/>
                            <w:bCs/>
                          </w:rPr>
                          <w:t>Carlos Walter Martins Pedro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</w:pPr>
                        <w:r w:rsidRPr="00FF23CD">
                          <w:t>Coordenador do Conselho Temático de Relações do Trabalho</w:t>
                        </w:r>
                      </w:p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color w:val="1F497D"/>
                            <w:sz w:val="24"/>
                            <w:szCs w:val="24"/>
                          </w:rPr>
                        </w:pPr>
                        <w:r w:rsidRPr="00FF23CD">
                          <w:t>Federação das Indústrias do Estado do Paraná</w:t>
                        </w:r>
                      </w:p>
                    </w:tc>
                    <w:tc>
                      <w:tcPr>
                        <w:tcW w:w="0" w:type="dxa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  <w:tr w:rsidR="002F6E73" w:rsidRPr="00FF23CD" w:rsidTr="002F6E73">
                    <w:trPr>
                      <w:tblCellSpacing w:w="0" w:type="dxa"/>
                    </w:trPr>
                    <w:tc>
                      <w:tcPr>
                        <w:tcW w:w="63" w:type="dxa"/>
                        <w:vAlign w:val="center"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37" w:type="dxa"/>
                        <w:vAlign w:val="center"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dxa"/>
                        <w:vAlign w:val="center"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6E73" w:rsidRPr="00FF23CD" w:rsidRDefault="002F6E73" w:rsidP="002F6E73">
                  <w:pPr>
                    <w:framePr w:hSpace="141" w:wrap="around" w:vAnchor="text" w:hAnchor="margin" w:xAlign="center" w:y="-44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F6E73" w:rsidRPr="00FF23CD" w:rsidTr="0093608A">
              <w:trPr>
                <w:trHeight w:val="360"/>
                <w:tblCellSpacing w:w="0" w:type="dxa"/>
              </w:trPr>
              <w:tc>
                <w:tcPr>
                  <w:tcW w:w="10701" w:type="dxa"/>
                  <w:shd w:val="clear" w:color="auto" w:fill="FFFFFF"/>
                  <w:vAlign w:val="center"/>
                  <w:hideMark/>
                </w:tcPr>
                <w:p w:rsidR="002F6E73" w:rsidRPr="00FF23CD" w:rsidRDefault="002F6E73" w:rsidP="002F6E73">
                  <w:pPr>
                    <w:framePr w:hSpace="141" w:wrap="around" w:vAnchor="text" w:hAnchor="margin" w:xAlign="center" w:y="-44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F6E73" w:rsidRPr="00FF23CD" w:rsidTr="0093608A">
              <w:trPr>
                <w:tblCellSpacing w:w="0" w:type="dxa"/>
              </w:trPr>
              <w:tc>
                <w:tcPr>
                  <w:tcW w:w="10701" w:type="dxa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45"/>
                    <w:gridCol w:w="4605"/>
                  </w:tblGrid>
                  <w:tr w:rsidR="002F6E73" w:rsidRPr="00FF23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6E73" w:rsidRPr="00FF23CD" w:rsidRDefault="008A382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hyperlink r:id="rId7" w:history="1">
                          <w:r w:rsidRPr="00FF23CD">
                            <w:rPr>
                              <w:color w:val="0000FF"/>
                              <w:lang w:eastAsia="pt-BR"/>
                            </w:rPr>
                            <w:fldChar w:fldCharType="begin"/>
                          </w:r>
                          <w:r w:rsidR="002F6E73" w:rsidRPr="00FF23CD">
                            <w:rPr>
                              <w:color w:val="0000FF"/>
                              <w:lang w:eastAsia="pt-BR"/>
                            </w:rPr>
                            <w:instrText xml:space="preserve"> INCLUDEPICTURE  "cid:image002.jpg@01CEEC64.EAFB3720" \* MERGEFORMATINET </w:instrText>
                          </w:r>
                          <w:r w:rsidRPr="00FF23CD">
                            <w:rPr>
                              <w:color w:val="0000FF"/>
                              <w:lang w:eastAsia="pt-BR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begin"/>
                          </w:r>
                          <w:r w:rsidR="002F698B">
                            <w:rPr>
                              <w:color w:val="0000FF"/>
                              <w:lang w:eastAsia="pt-BR"/>
                            </w:rPr>
                            <w:instrText xml:space="preserve"> INCLUDEPICTURE  "cid:image002.jpg@01CEEC64.EAFB3720" \* MERGEFORMATINET </w:instrText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begin"/>
                          </w:r>
                          <w:r w:rsidR="0093608A">
                            <w:rPr>
                              <w:color w:val="0000FF"/>
                              <w:lang w:eastAsia="pt-BR"/>
                            </w:rPr>
                            <w:instrText xml:space="preserve"> INCLUDEPICTURE  "cid:image002.jpg@01CEEC64.EAFB3720" \* MERGEFORMATINET </w:instrText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begin"/>
                          </w:r>
                          <w:r w:rsidR="00DF7979">
                            <w:rPr>
                              <w:color w:val="0000FF"/>
                              <w:lang w:eastAsia="pt-BR"/>
                            </w:rPr>
                            <w:instrText xml:space="preserve"> INCLUDEPICTURE  "cid:image002.jpg@01CEEC64.EAFB3720" \* MERGEFORMATINET </w:instrText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separate"/>
                          </w:r>
                          <w:r w:rsidR="00AF7CB4" w:rsidRPr="008A3823">
                            <w:rPr>
                              <w:color w:val="0000FF"/>
                              <w:lang w:eastAsia="pt-BR"/>
                            </w:rPr>
                            <w:pict>
                              <v:shape id="Imagem 2" o:spid="_x0000_i1026" type="#_x0000_t75" alt="cid:image002.jpg@01CED553.5F528B10" style="width:182.25pt;height:23.25pt">
                                <v:imagedata r:id="rId8" r:href="rId9"/>
                              </v:shape>
                            </w:pict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lang w:eastAsia="pt-BR"/>
                            </w:rPr>
                            <w:fldChar w:fldCharType="end"/>
                          </w:r>
                          <w:r w:rsidRPr="00FF23CD">
                            <w:rPr>
                              <w:color w:val="0000FF"/>
                              <w:lang w:eastAsia="pt-BR"/>
                            </w:rPr>
                            <w:fldChar w:fldCharType="end"/>
                          </w:r>
                        </w:hyperlink>
                      </w:p>
                    </w:tc>
                    <w:tc>
                      <w:tcPr>
                        <w:tcW w:w="4605" w:type="dxa"/>
                        <w:shd w:val="clear" w:color="auto" w:fill="FFFFFF"/>
                        <w:vAlign w:val="center"/>
                        <w:hideMark/>
                      </w:tcPr>
                      <w:p w:rsidR="002F6E73" w:rsidRPr="00FF23CD" w:rsidRDefault="002F6E73" w:rsidP="002F6E73">
                        <w:pPr>
                          <w:framePr w:hSpace="141" w:wrap="around" w:vAnchor="text" w:hAnchor="margin" w:xAlign="center" w:y="-44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6E73" w:rsidRPr="00FF23CD" w:rsidRDefault="002F6E73" w:rsidP="002F6E73">
                  <w:pPr>
                    <w:framePr w:hSpace="141" w:wrap="around" w:vAnchor="text" w:hAnchor="margin" w:xAlign="center" w:y="-44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2F6E73" w:rsidRPr="00FF23CD" w:rsidRDefault="002F6E73" w:rsidP="002F6E73">
            <w:pPr>
              <w:jc w:val="center"/>
              <w:rPr>
                <w:color w:val="C93360"/>
              </w:rPr>
            </w:pPr>
          </w:p>
        </w:tc>
      </w:tr>
      <w:tr w:rsidR="002F6E73" w:rsidTr="002F6E73">
        <w:trPr>
          <w:tblCellSpacing w:w="0" w:type="dxa"/>
        </w:trPr>
        <w:tc>
          <w:tcPr>
            <w:tcW w:w="15244" w:type="dxa"/>
            <w:shd w:val="clear" w:color="auto" w:fill="FFFFFF"/>
            <w:hideMark/>
          </w:tcPr>
          <w:p w:rsidR="002F6E73" w:rsidRPr="00FF23CD" w:rsidRDefault="002F6E73" w:rsidP="002F6E73">
            <w:pPr>
              <w:jc w:val="center"/>
            </w:pPr>
          </w:p>
        </w:tc>
      </w:tr>
      <w:tr w:rsidR="002F6E73" w:rsidTr="002F6E73">
        <w:trPr>
          <w:tblCellSpacing w:w="0" w:type="dxa"/>
        </w:trPr>
        <w:tc>
          <w:tcPr>
            <w:tcW w:w="15244" w:type="dxa"/>
            <w:shd w:val="clear" w:color="auto" w:fill="FFFFFF"/>
            <w:hideMark/>
          </w:tcPr>
          <w:p w:rsidR="002F6E73" w:rsidRPr="00FF23CD" w:rsidRDefault="002F6E73" w:rsidP="002F6E73">
            <w:pPr>
              <w:jc w:val="center"/>
            </w:pPr>
          </w:p>
        </w:tc>
      </w:tr>
    </w:tbl>
    <w:p w:rsidR="00637212" w:rsidRDefault="00637212"/>
    <w:sectPr w:rsidR="00637212" w:rsidSect="008A3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A13B9"/>
    <w:multiLevelType w:val="hybridMultilevel"/>
    <w:tmpl w:val="A04AC2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767"/>
    <w:rsid w:val="001A77EA"/>
    <w:rsid w:val="002F698B"/>
    <w:rsid w:val="002F6E73"/>
    <w:rsid w:val="00372A88"/>
    <w:rsid w:val="003E7AA2"/>
    <w:rsid w:val="00433D5C"/>
    <w:rsid w:val="00540767"/>
    <w:rsid w:val="00612E25"/>
    <w:rsid w:val="00637212"/>
    <w:rsid w:val="006936B3"/>
    <w:rsid w:val="008A3823"/>
    <w:rsid w:val="0093608A"/>
    <w:rsid w:val="00AF7CB4"/>
    <w:rsid w:val="00C97A94"/>
    <w:rsid w:val="00DF7979"/>
    <w:rsid w:val="00E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67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76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767"/>
    <w:pPr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7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67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76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767"/>
    <w:pPr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7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cmacomunicacao.com.br/listen/redirect.php?rd=562712&amp;d=8579042&amp;e=1288084&amp;ml=milena.silva@fiepr.org.br&amp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EEC64.EAFB37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jpg@01CEEC64.EAFB372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Raschke Dias Bacarin</dc:creator>
  <cp:lastModifiedBy>Home</cp:lastModifiedBy>
  <cp:revision>2</cp:revision>
  <cp:lastPrinted>2014-03-11T21:03:00Z</cp:lastPrinted>
  <dcterms:created xsi:type="dcterms:W3CDTF">2014-05-29T18:05:00Z</dcterms:created>
  <dcterms:modified xsi:type="dcterms:W3CDTF">2014-05-29T18:05:00Z</dcterms:modified>
</cp:coreProperties>
</file>